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C5078" w14:textId="3A35E575" w:rsidR="0DB25498" w:rsidRDefault="0DB25498" w:rsidP="0DB25498">
      <w:pPr>
        <w:pStyle w:val="Heading1"/>
        <w:rPr>
          <w:color w:val="0070C0"/>
          <w:sz w:val="40"/>
          <w:szCs w:val="40"/>
        </w:rPr>
      </w:pPr>
      <w:r w:rsidRPr="0DB25498">
        <w:rPr>
          <w:color w:val="0070C0"/>
          <w:sz w:val="40"/>
          <w:szCs w:val="40"/>
        </w:rPr>
        <w:t xml:space="preserve">Livable City Year – Skyway-West Hill </w:t>
      </w:r>
      <w:bookmarkStart w:id="0" w:name="_GoBack"/>
      <w:bookmarkEnd w:id="0"/>
    </w:p>
    <w:p w14:paraId="732753C6" w14:textId="7B48BA98" w:rsidR="0DB25498" w:rsidRDefault="0DB25498" w:rsidP="0DB25498">
      <w:pPr>
        <w:rPr>
          <w:rFonts w:eastAsiaTheme="minorEastAsia"/>
          <w:color w:val="000000" w:themeColor="text1"/>
          <w:sz w:val="24"/>
          <w:szCs w:val="24"/>
        </w:rPr>
      </w:pPr>
      <w:r w:rsidRPr="0DB25498">
        <w:rPr>
          <w:rFonts w:eastAsiaTheme="minorEastAsia"/>
          <w:color w:val="000000" w:themeColor="text1"/>
          <w:sz w:val="24"/>
          <w:szCs w:val="24"/>
        </w:rPr>
        <w:t xml:space="preserve">King County is interested in developing an ongoing partnership with the University of Washington Livable City Year program to provide research, analysis, and recommendation to address the needs of the residents of Skyway-West Hill and North Highline. One of the most-pressing needs facing these communities is a set of programmatic and regulatory tools to address the risk of residential displacement they are experiencing. Skyway-West Hill and North Highline are some of the most diverse and lowest income areas of unincorporated King County. As the Puget Sound region has experienced economic growth over the past several decades and most-recently since the end of the economic recession around 2012, these communities have experienced increased risk of residential displacement resulting from the rising cost of housing. The County wants to take proactive regulatory and programmatic steps to stem this tide before it overwhelms current residents and they have no choice but to leave the community they call home. </w:t>
      </w:r>
    </w:p>
    <w:p w14:paraId="7E712703" w14:textId="3110DC7C" w:rsidR="0DB25498" w:rsidRDefault="0DB25498" w:rsidP="0DB25498">
      <w:pPr>
        <w:spacing w:after="160"/>
        <w:rPr>
          <w:rFonts w:eastAsiaTheme="minorEastAsia"/>
          <w:color w:val="auto"/>
          <w:sz w:val="24"/>
          <w:szCs w:val="24"/>
        </w:rPr>
      </w:pPr>
      <w:r w:rsidRPr="0DB25498">
        <w:rPr>
          <w:rFonts w:eastAsiaTheme="minorEastAsia"/>
          <w:color w:val="auto"/>
          <w:sz w:val="24"/>
          <w:szCs w:val="24"/>
        </w:rPr>
        <w:t>Driven by King County’s equity and social justice goals. The creation and delivery of the required analysis should reflect the values and strategies of the County’s equity and social justice strategic plan.</w:t>
      </w:r>
    </w:p>
    <w:p w14:paraId="6AC91D11" w14:textId="460EF472" w:rsidR="0DB25498" w:rsidRDefault="231664F6" w:rsidP="231664F6">
      <w:pPr>
        <w:pStyle w:val="ListParagraph"/>
        <w:numPr>
          <w:ilvl w:val="0"/>
          <w:numId w:val="1"/>
        </w:numPr>
        <w:spacing w:after="160"/>
        <w:rPr>
          <w:color w:val="auto"/>
          <w:sz w:val="24"/>
          <w:szCs w:val="24"/>
        </w:rPr>
      </w:pPr>
      <w:r w:rsidRPr="231664F6">
        <w:rPr>
          <w:rFonts w:eastAsiaTheme="minorEastAsia"/>
          <w:color w:val="auto"/>
          <w:sz w:val="24"/>
          <w:szCs w:val="24"/>
        </w:rPr>
        <w:t xml:space="preserve">Conduct a literature review containing citations of research associated with implementation and effectiveness of the measures itemized below. A compendium of the articles reviewed shall be shared with King County in an electronic format for future reference. One result of the literature research shall be a glossary that provides for a common understanding of and use of </w:t>
      </w:r>
      <w:proofErr w:type="gramStart"/>
      <w:r w:rsidRPr="231664F6">
        <w:rPr>
          <w:rFonts w:eastAsiaTheme="minorEastAsia"/>
          <w:color w:val="auto"/>
          <w:sz w:val="24"/>
          <w:szCs w:val="24"/>
        </w:rPr>
        <w:t>particular technical</w:t>
      </w:r>
      <w:proofErr w:type="gramEnd"/>
      <w:r w:rsidRPr="231664F6">
        <w:rPr>
          <w:rFonts w:eastAsiaTheme="minorEastAsia"/>
          <w:color w:val="auto"/>
          <w:sz w:val="24"/>
          <w:szCs w:val="24"/>
        </w:rPr>
        <w:t xml:space="preserve"> terms.</w:t>
      </w:r>
    </w:p>
    <w:p w14:paraId="0CBCFCF8" w14:textId="4DEF0432" w:rsidR="0DB25498" w:rsidRDefault="231664F6" w:rsidP="231664F6">
      <w:pPr>
        <w:pStyle w:val="ListParagraph"/>
        <w:numPr>
          <w:ilvl w:val="1"/>
          <w:numId w:val="4"/>
        </w:numPr>
        <w:spacing w:after="160"/>
        <w:rPr>
          <w:color w:val="000000" w:themeColor="text1"/>
          <w:sz w:val="24"/>
          <w:szCs w:val="24"/>
        </w:rPr>
      </w:pPr>
      <w:r w:rsidRPr="231664F6">
        <w:rPr>
          <w:rFonts w:eastAsiaTheme="minorEastAsia"/>
          <w:color w:val="auto"/>
          <w:sz w:val="24"/>
          <w:szCs w:val="24"/>
        </w:rPr>
        <w:t>Inclusionary zoning</w:t>
      </w:r>
    </w:p>
    <w:p w14:paraId="514FE5D5" w14:textId="5E2749D3" w:rsidR="0DB25498" w:rsidRDefault="231664F6" w:rsidP="231664F6">
      <w:pPr>
        <w:pStyle w:val="ListParagraph"/>
        <w:numPr>
          <w:ilvl w:val="1"/>
          <w:numId w:val="4"/>
        </w:numPr>
        <w:spacing w:after="160"/>
        <w:rPr>
          <w:color w:val="000000" w:themeColor="text1"/>
          <w:sz w:val="24"/>
          <w:szCs w:val="24"/>
        </w:rPr>
      </w:pPr>
      <w:r w:rsidRPr="231664F6">
        <w:rPr>
          <w:rFonts w:eastAsiaTheme="minorEastAsia"/>
          <w:color w:val="auto"/>
          <w:sz w:val="24"/>
          <w:szCs w:val="24"/>
        </w:rPr>
        <w:t>Mobile home park preservation</w:t>
      </w:r>
    </w:p>
    <w:p w14:paraId="1F382AF6" w14:textId="0CF7ED2B" w:rsidR="0DB25498" w:rsidRDefault="231664F6" w:rsidP="231664F6">
      <w:pPr>
        <w:pStyle w:val="ListParagraph"/>
        <w:numPr>
          <w:ilvl w:val="1"/>
          <w:numId w:val="4"/>
        </w:numPr>
        <w:spacing w:after="160"/>
        <w:rPr>
          <w:color w:val="000000" w:themeColor="text1"/>
          <w:sz w:val="24"/>
          <w:szCs w:val="24"/>
        </w:rPr>
      </w:pPr>
      <w:r w:rsidRPr="231664F6">
        <w:rPr>
          <w:rFonts w:eastAsiaTheme="minorEastAsia"/>
          <w:color w:val="auto"/>
          <w:sz w:val="24"/>
          <w:szCs w:val="24"/>
        </w:rPr>
        <w:t>Residential community benefit agreements</w:t>
      </w:r>
    </w:p>
    <w:p w14:paraId="4534E608" w14:textId="35872168" w:rsidR="0DB25498" w:rsidRDefault="231664F6" w:rsidP="231664F6">
      <w:pPr>
        <w:pStyle w:val="ListParagraph"/>
        <w:numPr>
          <w:ilvl w:val="1"/>
          <w:numId w:val="4"/>
        </w:numPr>
        <w:spacing w:after="160"/>
        <w:rPr>
          <w:color w:val="000000" w:themeColor="text1"/>
          <w:sz w:val="24"/>
          <w:szCs w:val="24"/>
        </w:rPr>
      </w:pPr>
      <w:r w:rsidRPr="231664F6">
        <w:rPr>
          <w:rFonts w:eastAsiaTheme="minorEastAsia"/>
          <w:color w:val="auto"/>
          <w:sz w:val="24"/>
          <w:szCs w:val="24"/>
        </w:rPr>
        <w:t>Relocation assistance</w:t>
      </w:r>
    </w:p>
    <w:p w14:paraId="27E79D87" w14:textId="292E6FD5" w:rsidR="0DB25498" w:rsidRDefault="2D28879E" w:rsidP="231664F6">
      <w:pPr>
        <w:pStyle w:val="ListParagraph"/>
        <w:numPr>
          <w:ilvl w:val="1"/>
          <w:numId w:val="4"/>
        </w:numPr>
        <w:spacing w:after="160"/>
        <w:rPr>
          <w:color w:val="000000" w:themeColor="text1"/>
          <w:sz w:val="24"/>
          <w:szCs w:val="24"/>
        </w:rPr>
      </w:pPr>
      <w:r w:rsidRPr="2D28879E">
        <w:rPr>
          <w:rFonts w:eastAsiaTheme="minorEastAsia"/>
          <w:color w:val="auto"/>
          <w:sz w:val="24"/>
          <w:szCs w:val="24"/>
        </w:rPr>
        <w:t>Community preference and right-to-return policies</w:t>
      </w:r>
    </w:p>
    <w:p w14:paraId="07127099" w14:textId="03D0D59D" w:rsidR="0DB25498" w:rsidRDefault="231664F6" w:rsidP="231664F6">
      <w:pPr>
        <w:pStyle w:val="ListParagraph"/>
        <w:numPr>
          <w:ilvl w:val="1"/>
          <w:numId w:val="4"/>
        </w:numPr>
        <w:spacing w:after="160"/>
        <w:rPr>
          <w:color w:val="000000" w:themeColor="text1"/>
          <w:sz w:val="24"/>
          <w:szCs w:val="24"/>
        </w:rPr>
      </w:pPr>
      <w:r w:rsidRPr="231664F6">
        <w:rPr>
          <w:rFonts w:eastAsiaTheme="minorEastAsia"/>
          <w:color w:val="auto"/>
          <w:sz w:val="24"/>
          <w:szCs w:val="24"/>
        </w:rPr>
        <w:t>Redevelopment assistance</w:t>
      </w:r>
    </w:p>
    <w:p w14:paraId="30EFE68E" w14:textId="72363B43" w:rsidR="0DB25498" w:rsidRDefault="2D28879E" w:rsidP="231664F6">
      <w:pPr>
        <w:pStyle w:val="ListParagraph"/>
        <w:numPr>
          <w:ilvl w:val="1"/>
          <w:numId w:val="4"/>
        </w:numPr>
        <w:spacing w:after="160"/>
        <w:rPr>
          <w:color w:val="000000" w:themeColor="text1"/>
          <w:sz w:val="24"/>
          <w:szCs w:val="24"/>
        </w:rPr>
      </w:pPr>
      <w:r w:rsidRPr="2D28879E">
        <w:rPr>
          <w:rFonts w:eastAsiaTheme="minorEastAsia"/>
          <w:color w:val="auto"/>
          <w:sz w:val="24"/>
          <w:szCs w:val="24"/>
        </w:rPr>
        <w:t>No net loss of affordable housing units</w:t>
      </w:r>
    </w:p>
    <w:p w14:paraId="4A6E9F5B" w14:textId="7FBA6231" w:rsidR="2D28879E" w:rsidRDefault="2D28879E" w:rsidP="2D28879E">
      <w:pPr>
        <w:spacing w:after="160"/>
        <w:ind w:left="360"/>
        <w:rPr>
          <w:rFonts w:eastAsiaTheme="minorEastAsia"/>
          <w:color w:val="auto"/>
          <w:sz w:val="24"/>
          <w:szCs w:val="24"/>
        </w:rPr>
      </w:pPr>
    </w:p>
    <w:p w14:paraId="016A018B" w14:textId="2C67D9BB" w:rsidR="0DB25498" w:rsidRDefault="75EDF274" w:rsidP="231664F6">
      <w:pPr>
        <w:pStyle w:val="ListParagraph"/>
        <w:numPr>
          <w:ilvl w:val="0"/>
          <w:numId w:val="1"/>
        </w:numPr>
        <w:spacing w:after="160"/>
        <w:rPr>
          <w:color w:val="auto"/>
          <w:sz w:val="24"/>
          <w:szCs w:val="24"/>
        </w:rPr>
      </w:pPr>
      <w:proofErr w:type="gramStart"/>
      <w:r w:rsidRPr="75EDF274">
        <w:rPr>
          <w:rFonts w:eastAsiaTheme="minorEastAsia"/>
          <w:color w:val="auto"/>
          <w:sz w:val="24"/>
          <w:szCs w:val="24"/>
        </w:rPr>
        <w:t>In regards to</w:t>
      </w:r>
      <w:proofErr w:type="gramEnd"/>
      <w:r w:rsidRPr="75EDF274">
        <w:rPr>
          <w:rFonts w:eastAsiaTheme="minorEastAsia"/>
          <w:color w:val="auto"/>
          <w:sz w:val="24"/>
          <w:szCs w:val="24"/>
        </w:rPr>
        <w:t xml:space="preserve"> Inclusionary Zoning, provide recommendations for ideal levels of required numbers of units, levels of affordability (based on area median income), and length of unit protections by performing the following:</w:t>
      </w:r>
    </w:p>
    <w:p w14:paraId="5B3D065A" w14:textId="10ED417F" w:rsidR="75EDF274" w:rsidRDefault="75EDF274" w:rsidP="75EDF274">
      <w:pPr>
        <w:pStyle w:val="ListParagraph"/>
        <w:numPr>
          <w:ilvl w:val="1"/>
          <w:numId w:val="3"/>
        </w:numPr>
        <w:spacing w:after="160"/>
        <w:rPr>
          <w:color w:val="000000" w:themeColor="text1"/>
          <w:sz w:val="24"/>
          <w:szCs w:val="24"/>
        </w:rPr>
      </w:pPr>
      <w:r w:rsidRPr="75EDF274">
        <w:rPr>
          <w:rFonts w:eastAsiaTheme="minorEastAsia"/>
          <w:color w:val="auto"/>
          <w:sz w:val="24"/>
          <w:szCs w:val="24"/>
        </w:rPr>
        <w:t>Review and summarize other comparable jurisdictions’ inclusionary zoning programs</w:t>
      </w:r>
    </w:p>
    <w:p w14:paraId="1651C3EC" w14:textId="7F88FCBB" w:rsidR="0DB25498" w:rsidRDefault="75EDF274" w:rsidP="231664F6">
      <w:pPr>
        <w:pStyle w:val="ListParagraph"/>
        <w:numPr>
          <w:ilvl w:val="1"/>
          <w:numId w:val="3"/>
        </w:numPr>
        <w:spacing w:after="160"/>
        <w:rPr>
          <w:color w:val="000000" w:themeColor="text1"/>
          <w:sz w:val="24"/>
          <w:szCs w:val="24"/>
        </w:rPr>
      </w:pPr>
      <w:r w:rsidRPr="75EDF274">
        <w:rPr>
          <w:rFonts w:eastAsiaTheme="minorEastAsia"/>
          <w:color w:val="auto"/>
          <w:sz w:val="24"/>
          <w:szCs w:val="24"/>
        </w:rPr>
        <w:lastRenderedPageBreak/>
        <w:t>Market analysis for the two submarkets of Skyway-West Hill and North Highline</w:t>
      </w:r>
    </w:p>
    <w:p w14:paraId="1DD091AC" w14:textId="3E0C28D0" w:rsidR="0DB25498" w:rsidRDefault="75EDF274" w:rsidP="231664F6">
      <w:pPr>
        <w:pStyle w:val="ListParagraph"/>
        <w:numPr>
          <w:ilvl w:val="1"/>
          <w:numId w:val="3"/>
        </w:numPr>
        <w:spacing w:after="160"/>
        <w:rPr>
          <w:color w:val="000000" w:themeColor="text1"/>
          <w:sz w:val="24"/>
          <w:szCs w:val="24"/>
        </w:rPr>
      </w:pPr>
      <w:r w:rsidRPr="75EDF274">
        <w:rPr>
          <w:rFonts w:eastAsiaTheme="minorEastAsia"/>
          <w:color w:val="auto"/>
          <w:sz w:val="24"/>
          <w:szCs w:val="24"/>
        </w:rPr>
        <w:t>Review the feasibility for flexible or dynamic model that is scaled to project sizes, sub-market conditions, and incentive structures</w:t>
      </w:r>
    </w:p>
    <w:p w14:paraId="071CE741" w14:textId="23DD4FD4" w:rsidR="0DB25498" w:rsidRDefault="75EDF274" w:rsidP="231664F6">
      <w:pPr>
        <w:pStyle w:val="ListParagraph"/>
        <w:numPr>
          <w:ilvl w:val="1"/>
          <w:numId w:val="3"/>
        </w:numPr>
        <w:spacing w:after="160"/>
        <w:rPr>
          <w:color w:val="000000" w:themeColor="text1"/>
          <w:sz w:val="24"/>
          <w:szCs w:val="24"/>
        </w:rPr>
      </w:pPr>
      <w:r w:rsidRPr="75EDF274">
        <w:rPr>
          <w:rFonts w:eastAsiaTheme="minorEastAsia"/>
          <w:color w:val="auto"/>
          <w:sz w:val="24"/>
          <w:szCs w:val="24"/>
        </w:rPr>
        <w:t xml:space="preserve">Benefits and drawbacks of using different AMI measures </w:t>
      </w:r>
    </w:p>
    <w:p w14:paraId="20A80860" w14:textId="6F093A9B" w:rsidR="0DB25498" w:rsidRDefault="75EDF274" w:rsidP="231664F6">
      <w:pPr>
        <w:pStyle w:val="ListParagraph"/>
        <w:numPr>
          <w:ilvl w:val="1"/>
          <w:numId w:val="3"/>
        </w:numPr>
        <w:spacing w:after="160"/>
        <w:rPr>
          <w:color w:val="000000" w:themeColor="text1"/>
          <w:sz w:val="24"/>
          <w:szCs w:val="24"/>
        </w:rPr>
      </w:pPr>
      <w:r w:rsidRPr="75EDF274">
        <w:rPr>
          <w:rFonts w:eastAsiaTheme="minorEastAsia"/>
          <w:color w:val="auto"/>
          <w:sz w:val="24"/>
          <w:szCs w:val="24"/>
        </w:rPr>
        <w:t xml:space="preserve">If units are not required to be provided identify a method </w:t>
      </w:r>
      <w:proofErr w:type="spellStart"/>
      <w:r w:rsidRPr="75EDF274">
        <w:rPr>
          <w:rFonts w:eastAsiaTheme="minorEastAsia"/>
          <w:color w:val="auto"/>
          <w:sz w:val="24"/>
          <w:szCs w:val="24"/>
        </w:rPr>
        <w:t>or</w:t>
      </w:r>
      <w:proofErr w:type="spellEnd"/>
      <w:r w:rsidRPr="75EDF274">
        <w:rPr>
          <w:rFonts w:eastAsiaTheme="minorEastAsia"/>
          <w:color w:val="auto"/>
          <w:sz w:val="24"/>
          <w:szCs w:val="24"/>
        </w:rPr>
        <w:t xml:space="preserve"> determining an appropriate linkage fee/in-lieu fee (per every unit created), including for moderate density dwellings (e.g. duplex, townhome, fourplex, etc.)</w:t>
      </w:r>
    </w:p>
    <w:p w14:paraId="3F117659" w14:textId="71480262" w:rsidR="2D28879E" w:rsidRDefault="2D28879E" w:rsidP="2D28879E">
      <w:pPr>
        <w:spacing w:after="160"/>
        <w:ind w:left="360"/>
        <w:rPr>
          <w:rFonts w:eastAsiaTheme="minorEastAsia"/>
          <w:color w:val="auto"/>
          <w:sz w:val="24"/>
          <w:szCs w:val="24"/>
        </w:rPr>
      </w:pPr>
    </w:p>
    <w:p w14:paraId="633AE461" w14:textId="646DEA3A" w:rsidR="2D28879E" w:rsidRDefault="2D28879E" w:rsidP="2D28879E">
      <w:pPr>
        <w:pStyle w:val="ListParagraph"/>
        <w:numPr>
          <w:ilvl w:val="0"/>
          <w:numId w:val="1"/>
        </w:numPr>
        <w:spacing w:after="160"/>
        <w:rPr>
          <w:color w:val="auto"/>
          <w:sz w:val="24"/>
          <w:szCs w:val="24"/>
        </w:rPr>
      </w:pPr>
      <w:r w:rsidRPr="2D28879E">
        <w:rPr>
          <w:rFonts w:eastAsiaTheme="minorEastAsia"/>
          <w:color w:val="auto"/>
          <w:sz w:val="24"/>
          <w:szCs w:val="24"/>
        </w:rPr>
        <w:t>In coordination with King County staff, provide an equity impact review (utilizing the King County Office of Equity and Social Justices Equity Impact Review process) of the measures above and describe how they may impact, both positively and negatively, the communities of Skyway-West Hill and North Highline.</w:t>
      </w:r>
    </w:p>
    <w:p w14:paraId="05F9011E" w14:textId="1A6D5FB0" w:rsidR="2D28879E" w:rsidRDefault="2D28879E" w:rsidP="2D28879E">
      <w:pPr>
        <w:spacing w:after="160"/>
        <w:ind w:left="360"/>
        <w:rPr>
          <w:rFonts w:eastAsiaTheme="minorEastAsia"/>
          <w:color w:val="auto"/>
          <w:sz w:val="24"/>
          <w:szCs w:val="24"/>
        </w:rPr>
      </w:pPr>
    </w:p>
    <w:p w14:paraId="5EECE66A" w14:textId="117689E1" w:rsidR="231664F6" w:rsidRDefault="75EDF274" w:rsidP="231664F6">
      <w:pPr>
        <w:pStyle w:val="ListParagraph"/>
        <w:numPr>
          <w:ilvl w:val="0"/>
          <w:numId w:val="1"/>
        </w:numPr>
        <w:spacing w:after="160"/>
        <w:rPr>
          <w:color w:val="auto"/>
          <w:sz w:val="24"/>
          <w:szCs w:val="24"/>
        </w:rPr>
      </w:pPr>
      <w:r w:rsidRPr="75EDF274">
        <w:rPr>
          <w:rFonts w:eastAsiaTheme="minorEastAsia"/>
          <w:color w:val="auto"/>
          <w:sz w:val="24"/>
          <w:szCs w:val="24"/>
        </w:rPr>
        <w:t>Utilizing existing tools and resources, analyze the risk of residential, commercial and cultural displacement due to increasing economic pressures within Skyway-West Hill and North Highline. Upon completion of the risk analysis, provide a summary of the various risk factors contributing to the risk and present strategies for the County to consider that may mitigate the risks.</w:t>
      </w:r>
    </w:p>
    <w:sectPr w:rsidR="231664F6" w:rsidSect="00EE3E7C">
      <w:footerReference w:type="default" r:id="rId10"/>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52FED554" w:rsidR="00447041" w:rsidRDefault="00D03AC1">
    <w:pPr>
      <w:pStyle w:val="Footer"/>
    </w:pPr>
    <w:r>
      <w:fldChar w:fldCharType="begin"/>
    </w:r>
    <w:r>
      <w:instrText xml:space="preserve"> PAGE   \* MERGEFORMAT </w:instrText>
    </w:r>
    <w:r>
      <w:fldChar w:fldCharType="separate"/>
    </w:r>
    <w:r w:rsidR="00FF2CC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0D0D72"/>
    <w:multiLevelType w:val="hybridMultilevel"/>
    <w:tmpl w:val="08700EE4"/>
    <w:lvl w:ilvl="0" w:tplc="9CCE323C">
      <w:start w:val="1"/>
      <w:numFmt w:val="decimal"/>
      <w:lvlText w:val="%1."/>
      <w:lvlJc w:val="left"/>
      <w:pPr>
        <w:ind w:left="720" w:hanging="360"/>
      </w:pPr>
    </w:lvl>
    <w:lvl w:ilvl="1" w:tplc="75FA62A2">
      <w:start w:val="1"/>
      <w:numFmt w:val="lowerLetter"/>
      <w:lvlText w:val="%2."/>
      <w:lvlJc w:val="left"/>
      <w:pPr>
        <w:ind w:left="1440" w:hanging="360"/>
      </w:pPr>
    </w:lvl>
    <w:lvl w:ilvl="2" w:tplc="3FF401F8">
      <w:start w:val="1"/>
      <w:numFmt w:val="lowerRoman"/>
      <w:lvlText w:val="%3."/>
      <w:lvlJc w:val="right"/>
      <w:pPr>
        <w:ind w:left="2160" w:hanging="180"/>
      </w:pPr>
    </w:lvl>
    <w:lvl w:ilvl="3" w:tplc="085AD4DE">
      <w:start w:val="1"/>
      <w:numFmt w:val="decimal"/>
      <w:lvlText w:val="%4."/>
      <w:lvlJc w:val="left"/>
      <w:pPr>
        <w:ind w:left="2880" w:hanging="360"/>
      </w:pPr>
    </w:lvl>
    <w:lvl w:ilvl="4" w:tplc="E6D04F10">
      <w:start w:val="1"/>
      <w:numFmt w:val="lowerLetter"/>
      <w:lvlText w:val="%5."/>
      <w:lvlJc w:val="left"/>
      <w:pPr>
        <w:ind w:left="3600" w:hanging="360"/>
      </w:pPr>
    </w:lvl>
    <w:lvl w:ilvl="5" w:tplc="AC46ACE4">
      <w:start w:val="1"/>
      <w:numFmt w:val="lowerRoman"/>
      <w:lvlText w:val="%6."/>
      <w:lvlJc w:val="right"/>
      <w:pPr>
        <w:ind w:left="4320" w:hanging="180"/>
      </w:pPr>
    </w:lvl>
    <w:lvl w:ilvl="6" w:tplc="21E01A18">
      <w:start w:val="1"/>
      <w:numFmt w:val="decimal"/>
      <w:lvlText w:val="%7."/>
      <w:lvlJc w:val="left"/>
      <w:pPr>
        <w:ind w:left="5040" w:hanging="360"/>
      </w:pPr>
    </w:lvl>
    <w:lvl w:ilvl="7" w:tplc="5628C51C">
      <w:start w:val="1"/>
      <w:numFmt w:val="lowerLetter"/>
      <w:lvlText w:val="%8."/>
      <w:lvlJc w:val="left"/>
      <w:pPr>
        <w:ind w:left="5760" w:hanging="360"/>
      </w:pPr>
    </w:lvl>
    <w:lvl w:ilvl="8" w:tplc="5E1838E2">
      <w:start w:val="1"/>
      <w:numFmt w:val="lowerRoman"/>
      <w:lvlText w:val="%9."/>
      <w:lvlJc w:val="right"/>
      <w:pPr>
        <w:ind w:left="6480" w:hanging="180"/>
      </w:pPr>
    </w:lvl>
  </w:abstractNum>
  <w:abstractNum w:abstractNumId="11" w15:restartNumberingAfterBreak="0">
    <w:nsid w:val="3F04405D"/>
    <w:multiLevelType w:val="hybridMultilevel"/>
    <w:tmpl w:val="D0B415B6"/>
    <w:lvl w:ilvl="0" w:tplc="3E08054A">
      <w:start w:val="1"/>
      <w:numFmt w:val="decimal"/>
      <w:lvlText w:val="%1."/>
      <w:lvlJc w:val="left"/>
      <w:pPr>
        <w:ind w:left="720" w:hanging="360"/>
      </w:pPr>
    </w:lvl>
    <w:lvl w:ilvl="1" w:tplc="224E51DA">
      <w:start w:val="1"/>
      <w:numFmt w:val="lowerLetter"/>
      <w:lvlText w:val="%2."/>
      <w:lvlJc w:val="left"/>
      <w:pPr>
        <w:ind w:left="1440" w:hanging="360"/>
      </w:pPr>
    </w:lvl>
    <w:lvl w:ilvl="2" w:tplc="7DE8CDDE">
      <w:start w:val="1"/>
      <w:numFmt w:val="lowerRoman"/>
      <w:lvlText w:val="%3."/>
      <w:lvlJc w:val="right"/>
      <w:pPr>
        <w:ind w:left="2160" w:hanging="180"/>
      </w:pPr>
    </w:lvl>
    <w:lvl w:ilvl="3" w:tplc="53CAF00E">
      <w:start w:val="1"/>
      <w:numFmt w:val="decimal"/>
      <w:lvlText w:val="%4."/>
      <w:lvlJc w:val="left"/>
      <w:pPr>
        <w:ind w:left="2880" w:hanging="360"/>
      </w:pPr>
    </w:lvl>
    <w:lvl w:ilvl="4" w:tplc="DBCE29F2">
      <w:start w:val="1"/>
      <w:numFmt w:val="lowerLetter"/>
      <w:lvlText w:val="%5."/>
      <w:lvlJc w:val="left"/>
      <w:pPr>
        <w:ind w:left="3600" w:hanging="360"/>
      </w:pPr>
    </w:lvl>
    <w:lvl w:ilvl="5" w:tplc="92BA558A">
      <w:start w:val="1"/>
      <w:numFmt w:val="lowerRoman"/>
      <w:lvlText w:val="%6."/>
      <w:lvlJc w:val="right"/>
      <w:pPr>
        <w:ind w:left="4320" w:hanging="180"/>
      </w:pPr>
    </w:lvl>
    <w:lvl w:ilvl="6" w:tplc="01B03754">
      <w:start w:val="1"/>
      <w:numFmt w:val="decimal"/>
      <w:lvlText w:val="%7."/>
      <w:lvlJc w:val="left"/>
      <w:pPr>
        <w:ind w:left="5040" w:hanging="360"/>
      </w:pPr>
    </w:lvl>
    <w:lvl w:ilvl="7" w:tplc="06E6F982">
      <w:start w:val="1"/>
      <w:numFmt w:val="lowerLetter"/>
      <w:lvlText w:val="%8."/>
      <w:lvlJc w:val="left"/>
      <w:pPr>
        <w:ind w:left="5760" w:hanging="360"/>
      </w:pPr>
    </w:lvl>
    <w:lvl w:ilvl="8" w:tplc="A6C2DA52">
      <w:start w:val="1"/>
      <w:numFmt w:val="lowerRoman"/>
      <w:lvlText w:val="%9."/>
      <w:lvlJc w:val="right"/>
      <w:pPr>
        <w:ind w:left="6480" w:hanging="180"/>
      </w:pPr>
    </w:lvl>
  </w:abstractNum>
  <w:abstractNum w:abstractNumId="12" w15:restartNumberingAfterBreak="0">
    <w:nsid w:val="57911D2C"/>
    <w:multiLevelType w:val="hybridMultilevel"/>
    <w:tmpl w:val="C4800D1E"/>
    <w:lvl w:ilvl="0" w:tplc="7DB27352">
      <w:start w:val="1"/>
      <w:numFmt w:val="upperLetter"/>
      <w:lvlText w:val="%1."/>
      <w:lvlJc w:val="left"/>
      <w:pPr>
        <w:ind w:left="720" w:hanging="360"/>
      </w:pPr>
    </w:lvl>
    <w:lvl w:ilvl="1" w:tplc="72E09D92">
      <w:start w:val="1"/>
      <w:numFmt w:val="lowerLetter"/>
      <w:lvlText w:val="%2."/>
      <w:lvlJc w:val="left"/>
      <w:pPr>
        <w:ind w:left="1440" w:hanging="360"/>
      </w:pPr>
    </w:lvl>
    <w:lvl w:ilvl="2" w:tplc="6936DA1E">
      <w:start w:val="1"/>
      <w:numFmt w:val="lowerRoman"/>
      <w:lvlText w:val="%3."/>
      <w:lvlJc w:val="right"/>
      <w:pPr>
        <w:ind w:left="2160" w:hanging="180"/>
      </w:pPr>
    </w:lvl>
    <w:lvl w:ilvl="3" w:tplc="2E2A5AF2">
      <w:start w:val="1"/>
      <w:numFmt w:val="decimal"/>
      <w:lvlText w:val="%4."/>
      <w:lvlJc w:val="left"/>
      <w:pPr>
        <w:ind w:left="2880" w:hanging="360"/>
      </w:pPr>
    </w:lvl>
    <w:lvl w:ilvl="4" w:tplc="9350DDB4">
      <w:start w:val="1"/>
      <w:numFmt w:val="lowerLetter"/>
      <w:lvlText w:val="%5."/>
      <w:lvlJc w:val="left"/>
      <w:pPr>
        <w:ind w:left="3600" w:hanging="360"/>
      </w:pPr>
    </w:lvl>
    <w:lvl w:ilvl="5" w:tplc="CD84FB0C">
      <w:start w:val="1"/>
      <w:numFmt w:val="lowerRoman"/>
      <w:lvlText w:val="%6."/>
      <w:lvlJc w:val="right"/>
      <w:pPr>
        <w:ind w:left="4320" w:hanging="180"/>
      </w:pPr>
    </w:lvl>
    <w:lvl w:ilvl="6" w:tplc="A56A6E60">
      <w:start w:val="1"/>
      <w:numFmt w:val="decimal"/>
      <w:lvlText w:val="%7."/>
      <w:lvlJc w:val="left"/>
      <w:pPr>
        <w:ind w:left="5040" w:hanging="360"/>
      </w:pPr>
    </w:lvl>
    <w:lvl w:ilvl="7" w:tplc="C8723B0C">
      <w:start w:val="1"/>
      <w:numFmt w:val="lowerLetter"/>
      <w:lvlText w:val="%8."/>
      <w:lvlJc w:val="left"/>
      <w:pPr>
        <w:ind w:left="5760" w:hanging="360"/>
      </w:pPr>
    </w:lvl>
    <w:lvl w:ilvl="8" w:tplc="A7B44828">
      <w:start w:val="1"/>
      <w:numFmt w:val="lowerRoman"/>
      <w:lvlText w:val="%9."/>
      <w:lvlJc w:val="right"/>
      <w:pPr>
        <w:ind w:left="6480" w:hanging="180"/>
      </w:pPr>
    </w:lvl>
  </w:abstractNum>
  <w:abstractNum w:abstractNumId="13" w15:restartNumberingAfterBreak="0">
    <w:nsid w:val="60C2450C"/>
    <w:multiLevelType w:val="hybridMultilevel"/>
    <w:tmpl w:val="3D3C9266"/>
    <w:lvl w:ilvl="0" w:tplc="D1F67252">
      <w:start w:val="2"/>
      <w:numFmt w:val="decimal"/>
      <w:lvlText w:val="%1."/>
      <w:lvlJc w:val="left"/>
      <w:pPr>
        <w:ind w:left="720" w:hanging="360"/>
      </w:pPr>
    </w:lvl>
    <w:lvl w:ilvl="1" w:tplc="23886290">
      <w:start w:val="1"/>
      <w:numFmt w:val="lowerLetter"/>
      <w:lvlText w:val="%2."/>
      <w:lvlJc w:val="left"/>
      <w:pPr>
        <w:ind w:left="1440" w:hanging="360"/>
      </w:pPr>
    </w:lvl>
    <w:lvl w:ilvl="2" w:tplc="9F588B6E">
      <w:start w:val="1"/>
      <w:numFmt w:val="lowerRoman"/>
      <w:lvlText w:val="%3."/>
      <w:lvlJc w:val="right"/>
      <w:pPr>
        <w:ind w:left="2160" w:hanging="180"/>
      </w:pPr>
    </w:lvl>
    <w:lvl w:ilvl="3" w:tplc="7B48FED2">
      <w:start w:val="1"/>
      <w:numFmt w:val="decimal"/>
      <w:lvlText w:val="%4."/>
      <w:lvlJc w:val="left"/>
      <w:pPr>
        <w:ind w:left="2880" w:hanging="360"/>
      </w:pPr>
    </w:lvl>
    <w:lvl w:ilvl="4" w:tplc="5D4CA346">
      <w:start w:val="1"/>
      <w:numFmt w:val="lowerLetter"/>
      <w:lvlText w:val="%5."/>
      <w:lvlJc w:val="left"/>
      <w:pPr>
        <w:ind w:left="3600" w:hanging="360"/>
      </w:pPr>
    </w:lvl>
    <w:lvl w:ilvl="5" w:tplc="23BC3BFA">
      <w:start w:val="1"/>
      <w:numFmt w:val="lowerRoman"/>
      <w:lvlText w:val="%6."/>
      <w:lvlJc w:val="right"/>
      <w:pPr>
        <w:ind w:left="4320" w:hanging="180"/>
      </w:pPr>
    </w:lvl>
    <w:lvl w:ilvl="6" w:tplc="402677E4">
      <w:start w:val="1"/>
      <w:numFmt w:val="decimal"/>
      <w:lvlText w:val="%7."/>
      <w:lvlJc w:val="left"/>
      <w:pPr>
        <w:ind w:left="5040" w:hanging="360"/>
      </w:pPr>
    </w:lvl>
    <w:lvl w:ilvl="7" w:tplc="C226C2CA">
      <w:start w:val="1"/>
      <w:numFmt w:val="lowerLetter"/>
      <w:lvlText w:val="%8."/>
      <w:lvlJc w:val="left"/>
      <w:pPr>
        <w:ind w:left="5760" w:hanging="360"/>
      </w:pPr>
    </w:lvl>
    <w:lvl w:ilvl="8" w:tplc="7AEAC2CA">
      <w:start w:val="1"/>
      <w:numFmt w:val="lowerRoman"/>
      <w:lvlText w:val="%9."/>
      <w:lvlJc w:val="right"/>
      <w:pPr>
        <w:ind w:left="6480" w:hanging="180"/>
      </w:pPr>
    </w:lvl>
  </w:abstractNum>
  <w:abstractNum w:abstractNumId="14" w15:restartNumberingAfterBreak="0">
    <w:nsid w:val="62ED5FAD"/>
    <w:multiLevelType w:val="hybridMultilevel"/>
    <w:tmpl w:val="775461E8"/>
    <w:lvl w:ilvl="0" w:tplc="FFFFFFFF">
      <w:start w:val="1"/>
      <w:numFmt w:val="decimal"/>
      <w:lvlText w:val="%1."/>
      <w:lvlJc w:val="left"/>
      <w:pPr>
        <w:ind w:left="720" w:hanging="360"/>
      </w:pPr>
    </w:lvl>
    <w:lvl w:ilvl="1" w:tplc="E884A836">
      <w:start w:val="1"/>
      <w:numFmt w:val="lowerLetter"/>
      <w:lvlText w:val="%2."/>
      <w:lvlJc w:val="left"/>
      <w:pPr>
        <w:ind w:left="1440" w:hanging="360"/>
      </w:pPr>
    </w:lvl>
    <w:lvl w:ilvl="2" w:tplc="A26C8AB4">
      <w:start w:val="1"/>
      <w:numFmt w:val="lowerRoman"/>
      <w:lvlText w:val="%3."/>
      <w:lvlJc w:val="right"/>
      <w:pPr>
        <w:ind w:left="2160" w:hanging="180"/>
      </w:pPr>
    </w:lvl>
    <w:lvl w:ilvl="3" w:tplc="A5866F3A">
      <w:start w:val="1"/>
      <w:numFmt w:val="decimal"/>
      <w:lvlText w:val="%4."/>
      <w:lvlJc w:val="left"/>
      <w:pPr>
        <w:ind w:left="2880" w:hanging="360"/>
      </w:pPr>
    </w:lvl>
    <w:lvl w:ilvl="4" w:tplc="A590FFE8">
      <w:start w:val="1"/>
      <w:numFmt w:val="lowerLetter"/>
      <w:lvlText w:val="%5."/>
      <w:lvlJc w:val="left"/>
      <w:pPr>
        <w:ind w:left="3600" w:hanging="360"/>
      </w:pPr>
    </w:lvl>
    <w:lvl w:ilvl="5" w:tplc="ED3224D4">
      <w:start w:val="1"/>
      <w:numFmt w:val="lowerRoman"/>
      <w:lvlText w:val="%6."/>
      <w:lvlJc w:val="right"/>
      <w:pPr>
        <w:ind w:left="4320" w:hanging="180"/>
      </w:pPr>
    </w:lvl>
    <w:lvl w:ilvl="6" w:tplc="6570D384">
      <w:start w:val="1"/>
      <w:numFmt w:val="decimal"/>
      <w:lvlText w:val="%7."/>
      <w:lvlJc w:val="left"/>
      <w:pPr>
        <w:ind w:left="5040" w:hanging="360"/>
      </w:pPr>
    </w:lvl>
    <w:lvl w:ilvl="7" w:tplc="1AF47AA4">
      <w:start w:val="1"/>
      <w:numFmt w:val="lowerLetter"/>
      <w:lvlText w:val="%8."/>
      <w:lvlJc w:val="left"/>
      <w:pPr>
        <w:ind w:left="5760" w:hanging="360"/>
      </w:pPr>
    </w:lvl>
    <w:lvl w:ilvl="8" w:tplc="72C2D994">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7F3910"/>
    <w:rsid w:val="009D2B19"/>
    <w:rsid w:val="00B045AF"/>
    <w:rsid w:val="00C00CB4"/>
    <w:rsid w:val="00C922B4"/>
    <w:rsid w:val="00D03AC1"/>
    <w:rsid w:val="00DC274F"/>
    <w:rsid w:val="00DC2CF0"/>
    <w:rsid w:val="00EE3E7C"/>
    <w:rsid w:val="00FF2CC9"/>
    <w:rsid w:val="0DB25498"/>
    <w:rsid w:val="187B3679"/>
    <w:rsid w:val="231664F6"/>
    <w:rsid w:val="2D28879E"/>
    <w:rsid w:val="75EDF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B3679"/>
  <w15:chartTrackingRefBased/>
  <w15:docId w15:val="{04635ACE-91AC-44FB-ADE0-DCDEDF4A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6"/>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7"/>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8"/>
      </w:numPr>
      <w:contextualSpacing/>
    </w:pPr>
  </w:style>
  <w:style w:type="paragraph" w:styleId="ListBullet3">
    <w:name w:val="List Bullet 3"/>
    <w:basedOn w:val="Normal"/>
    <w:uiPriority w:val="99"/>
    <w:semiHidden/>
    <w:unhideWhenUsed/>
    <w:rsid w:val="00DC2CF0"/>
    <w:pPr>
      <w:numPr>
        <w:numId w:val="9"/>
      </w:numPr>
      <w:contextualSpacing/>
    </w:pPr>
  </w:style>
  <w:style w:type="paragraph" w:styleId="ListBullet4">
    <w:name w:val="List Bullet 4"/>
    <w:basedOn w:val="Normal"/>
    <w:uiPriority w:val="99"/>
    <w:semiHidden/>
    <w:unhideWhenUsed/>
    <w:rsid w:val="00DC2CF0"/>
    <w:pPr>
      <w:numPr>
        <w:numId w:val="10"/>
      </w:numPr>
      <w:contextualSpacing/>
    </w:pPr>
  </w:style>
  <w:style w:type="paragraph" w:styleId="ListBullet5">
    <w:name w:val="List Bullet 5"/>
    <w:basedOn w:val="Normal"/>
    <w:uiPriority w:val="99"/>
    <w:semiHidden/>
    <w:unhideWhenUsed/>
    <w:rsid w:val="00DC2CF0"/>
    <w:pPr>
      <w:numPr>
        <w:numId w:val="11"/>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2"/>
      </w:numPr>
      <w:contextualSpacing/>
    </w:pPr>
  </w:style>
  <w:style w:type="paragraph" w:styleId="ListNumber3">
    <w:name w:val="List Number 3"/>
    <w:basedOn w:val="Normal"/>
    <w:uiPriority w:val="99"/>
    <w:semiHidden/>
    <w:unhideWhenUsed/>
    <w:rsid w:val="00DC2CF0"/>
    <w:pPr>
      <w:numPr>
        <w:numId w:val="13"/>
      </w:numPr>
      <w:contextualSpacing/>
    </w:pPr>
  </w:style>
  <w:style w:type="paragraph" w:styleId="ListNumber4">
    <w:name w:val="List Number 4"/>
    <w:basedOn w:val="Normal"/>
    <w:uiPriority w:val="99"/>
    <w:semiHidden/>
    <w:unhideWhenUsed/>
    <w:rsid w:val="00DC2CF0"/>
    <w:pPr>
      <w:numPr>
        <w:numId w:val="14"/>
      </w:numPr>
      <w:contextualSpacing/>
    </w:pPr>
  </w:style>
  <w:style w:type="paragraph" w:styleId="ListNumber5">
    <w:name w:val="List Number 5"/>
    <w:basedOn w:val="Normal"/>
    <w:uiPriority w:val="99"/>
    <w:semiHidden/>
    <w:unhideWhenUsed/>
    <w:rsid w:val="00DC2CF0"/>
    <w:pPr>
      <w:numPr>
        <w:numId w:val="15"/>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818BBB65BDC4680BF86ED7B4F283B" ma:contentTypeVersion="12" ma:contentTypeDescription="Create a new document." ma:contentTypeScope="" ma:versionID="c95fe23af646d9d63abef3cfb85a7a39">
  <xsd:schema xmlns:xsd="http://www.w3.org/2001/XMLSchema" xmlns:xs="http://www.w3.org/2001/XMLSchema" xmlns:p="http://schemas.microsoft.com/office/2006/metadata/properties" xmlns:ns3="71d6d1a3-4ef2-4509-bc91-0da255c2fdc7" xmlns:ns4="c3735f1d-b910-40d7-98cb-7a08a08cdc5a" targetNamespace="http://schemas.microsoft.com/office/2006/metadata/properties" ma:root="true" ma:fieldsID="63aa70526f68218ca3d591d1e57230ca" ns3:_="" ns4:_="">
    <xsd:import namespace="71d6d1a3-4ef2-4509-bc91-0da255c2fdc7"/>
    <xsd:import namespace="c3735f1d-b910-40d7-98cb-7a08a08cdc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d1a3-4ef2-4509-bc91-0da255c2f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35f1d-b910-40d7-98cb-7a08a08cdc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6FBE1-6EEF-4502-BF80-57D1918253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3735f1d-b910-40d7-98cb-7a08a08cdc5a"/>
    <ds:schemaRef ds:uri="http://purl.org/dc/terms/"/>
    <ds:schemaRef ds:uri="http://schemas.openxmlformats.org/package/2006/metadata/core-properties"/>
    <ds:schemaRef ds:uri="71d6d1a3-4ef2-4509-bc91-0da255c2fdc7"/>
    <ds:schemaRef ds:uri="http://www.w3.org/XML/1998/namespace"/>
    <ds:schemaRef ds:uri="http://purl.org/dc/dcmitype/"/>
  </ds:schemaRefs>
</ds:datastoreItem>
</file>

<file path=customXml/itemProps2.xml><?xml version="1.0" encoding="utf-8"?>
<ds:datastoreItem xmlns:ds="http://schemas.openxmlformats.org/officeDocument/2006/customXml" ds:itemID="{C1EDE302-E689-4B7B-B1A9-CC889DB277FE}">
  <ds:schemaRefs>
    <ds:schemaRef ds:uri="http://schemas.microsoft.com/sharepoint/v3/contenttype/forms"/>
  </ds:schemaRefs>
</ds:datastoreItem>
</file>

<file path=customXml/itemProps3.xml><?xml version="1.0" encoding="utf-8"?>
<ds:datastoreItem xmlns:ds="http://schemas.openxmlformats.org/officeDocument/2006/customXml" ds:itemID="{F81CA3F9-158E-4595-B869-780B17B4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d1a3-4ef2-4509-bc91-0da255c2fdc7"/>
    <ds:schemaRef ds:uri="c3735f1d-b910-40d7-98cb-7a08a08cd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 Kevin</dc:creator>
  <cp:keywords/>
  <dc:description/>
  <cp:lastModifiedBy>Gayton, Chandler</cp:lastModifiedBy>
  <cp:revision>2</cp:revision>
  <dcterms:created xsi:type="dcterms:W3CDTF">2020-03-05T00:54:00Z</dcterms:created>
  <dcterms:modified xsi:type="dcterms:W3CDTF">2020-03-05T00:54:00Z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0x0101001AF818BBB65BDC4680BF86ED7B4F283B</vt:lpwstr>
  </property>
</Properties>
</file>